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D753E" w14:textId="24AA4160" w:rsidR="00F153D5" w:rsidRDefault="0CE6A036" w:rsidP="601DEF25">
      <w:pPr>
        <w:rPr>
          <w:rFonts w:ascii="Calibri" w:eastAsia="Calibri" w:hAnsi="Calibri" w:cs="Calibri"/>
          <w:color w:val="000000" w:themeColor="text1"/>
          <w:sz w:val="40"/>
          <w:szCs w:val="40"/>
        </w:rPr>
      </w:pPr>
      <w:r w:rsidRPr="601DEF25">
        <w:rPr>
          <w:rFonts w:ascii="Calibri" w:eastAsia="Calibri" w:hAnsi="Calibri" w:cs="Calibri"/>
          <w:color w:val="000000" w:themeColor="text1"/>
          <w:sz w:val="40"/>
          <w:szCs w:val="40"/>
        </w:rPr>
        <w:t xml:space="preserve">Health Sciences Building Event Tabling Policy  </w:t>
      </w:r>
    </w:p>
    <w:p w14:paraId="46E48583" w14:textId="444C7141" w:rsidR="00F153D5" w:rsidRDefault="00F153D5" w:rsidP="601DEF25">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05"/>
        <w:gridCol w:w="6825"/>
      </w:tblGrid>
      <w:tr w:rsidR="601DEF25" w14:paraId="045EBEC5" w14:textId="77777777" w:rsidTr="601DEF25">
        <w:trPr>
          <w:trHeight w:val="300"/>
        </w:trPr>
        <w:tc>
          <w:tcPr>
            <w:tcW w:w="2505" w:type="dxa"/>
            <w:tcMar>
              <w:left w:w="105" w:type="dxa"/>
              <w:right w:w="105" w:type="dxa"/>
            </w:tcMar>
          </w:tcPr>
          <w:p w14:paraId="66D59986" w14:textId="7DA05AE0" w:rsidR="601DEF25" w:rsidRDefault="601DEF25" w:rsidP="601DEF25">
            <w:pPr>
              <w:rPr>
                <w:rFonts w:ascii="Calibri" w:eastAsia="Calibri" w:hAnsi="Calibri" w:cs="Calibri"/>
              </w:rPr>
            </w:pPr>
            <w:r w:rsidRPr="601DEF25">
              <w:rPr>
                <w:rFonts w:ascii="Calibri" w:eastAsia="Calibri" w:hAnsi="Calibri" w:cs="Calibri"/>
              </w:rPr>
              <w:t>Policy Number:</w:t>
            </w:r>
            <w:r>
              <w:tab/>
            </w:r>
          </w:p>
        </w:tc>
        <w:tc>
          <w:tcPr>
            <w:tcW w:w="6825" w:type="dxa"/>
            <w:tcMar>
              <w:left w:w="105" w:type="dxa"/>
              <w:right w:w="105" w:type="dxa"/>
            </w:tcMar>
          </w:tcPr>
          <w:p w14:paraId="676F7FAB" w14:textId="638CC385" w:rsidR="601DEF25" w:rsidRDefault="005F7C43" w:rsidP="601DEF25">
            <w:pPr>
              <w:rPr>
                <w:rFonts w:ascii="Calibri" w:eastAsia="Calibri" w:hAnsi="Calibri" w:cs="Calibri"/>
              </w:rPr>
            </w:pPr>
            <w:r>
              <w:rPr>
                <w:rFonts w:ascii="Calibri" w:eastAsia="Calibri" w:hAnsi="Calibri" w:cs="Calibri"/>
              </w:rPr>
              <w:t>003</w:t>
            </w:r>
          </w:p>
        </w:tc>
      </w:tr>
      <w:tr w:rsidR="601DEF25" w14:paraId="28621DD1" w14:textId="77777777" w:rsidTr="601DEF25">
        <w:trPr>
          <w:trHeight w:val="300"/>
        </w:trPr>
        <w:tc>
          <w:tcPr>
            <w:tcW w:w="2505" w:type="dxa"/>
            <w:tcMar>
              <w:left w:w="105" w:type="dxa"/>
              <w:right w:w="105" w:type="dxa"/>
            </w:tcMar>
          </w:tcPr>
          <w:p w14:paraId="3586BDB0" w14:textId="0085F4C8" w:rsidR="601DEF25" w:rsidRDefault="601DEF25" w:rsidP="601DEF25">
            <w:pPr>
              <w:rPr>
                <w:rFonts w:ascii="Calibri" w:eastAsia="Calibri" w:hAnsi="Calibri" w:cs="Calibri"/>
              </w:rPr>
            </w:pPr>
            <w:r w:rsidRPr="601DEF25">
              <w:rPr>
                <w:rFonts w:ascii="Calibri" w:eastAsia="Calibri" w:hAnsi="Calibri" w:cs="Calibri"/>
              </w:rPr>
              <w:t>HSS Unit:</w:t>
            </w:r>
            <w:r>
              <w:tab/>
            </w:r>
            <w:r>
              <w:tab/>
            </w:r>
          </w:p>
        </w:tc>
        <w:tc>
          <w:tcPr>
            <w:tcW w:w="6825" w:type="dxa"/>
            <w:tcMar>
              <w:left w:w="105" w:type="dxa"/>
              <w:right w:w="105" w:type="dxa"/>
            </w:tcMar>
          </w:tcPr>
          <w:p w14:paraId="2FFF3459" w14:textId="695B9270" w:rsidR="601DEF25" w:rsidRDefault="601DEF25" w:rsidP="601DEF25">
            <w:pPr>
              <w:rPr>
                <w:rFonts w:ascii="Calibri" w:eastAsia="Calibri" w:hAnsi="Calibri" w:cs="Calibri"/>
              </w:rPr>
            </w:pPr>
            <w:r w:rsidRPr="601DEF25">
              <w:rPr>
                <w:rFonts w:ascii="Calibri" w:eastAsia="Calibri" w:hAnsi="Calibri" w:cs="Calibri"/>
              </w:rPr>
              <w:t>Health Sciences Building Management</w:t>
            </w:r>
          </w:p>
        </w:tc>
      </w:tr>
      <w:tr w:rsidR="601DEF25" w14:paraId="34D48E32" w14:textId="77777777" w:rsidTr="601DEF25">
        <w:trPr>
          <w:trHeight w:val="300"/>
        </w:trPr>
        <w:tc>
          <w:tcPr>
            <w:tcW w:w="2505" w:type="dxa"/>
            <w:tcMar>
              <w:left w:w="105" w:type="dxa"/>
              <w:right w:w="105" w:type="dxa"/>
            </w:tcMar>
          </w:tcPr>
          <w:p w14:paraId="01FBE29A" w14:textId="599F86CC" w:rsidR="601DEF25" w:rsidRDefault="601DEF25" w:rsidP="601DEF25">
            <w:pPr>
              <w:rPr>
                <w:rFonts w:ascii="Calibri" w:eastAsia="Calibri" w:hAnsi="Calibri" w:cs="Calibri"/>
              </w:rPr>
            </w:pPr>
            <w:r w:rsidRPr="601DEF25">
              <w:rPr>
                <w:rFonts w:ascii="Calibri" w:eastAsia="Calibri" w:hAnsi="Calibri" w:cs="Calibri"/>
              </w:rPr>
              <w:t>Effective Date:</w:t>
            </w:r>
            <w:r>
              <w:tab/>
            </w:r>
          </w:p>
        </w:tc>
        <w:tc>
          <w:tcPr>
            <w:tcW w:w="6825" w:type="dxa"/>
            <w:tcMar>
              <w:left w:w="105" w:type="dxa"/>
              <w:right w:w="105" w:type="dxa"/>
            </w:tcMar>
          </w:tcPr>
          <w:p w14:paraId="50DB8F67" w14:textId="23DC1220" w:rsidR="601DEF25" w:rsidRDefault="00220851" w:rsidP="601DEF25">
            <w:pPr>
              <w:rPr>
                <w:rFonts w:ascii="Calibri" w:eastAsia="Calibri" w:hAnsi="Calibri" w:cs="Calibri"/>
              </w:rPr>
            </w:pPr>
            <w:r>
              <w:rPr>
                <w:rFonts w:ascii="Calibri" w:eastAsia="Calibri" w:hAnsi="Calibri" w:cs="Calibri"/>
              </w:rPr>
              <w:t>11/20/2024</w:t>
            </w:r>
          </w:p>
        </w:tc>
      </w:tr>
      <w:tr w:rsidR="601DEF25" w14:paraId="7BDAE8CE" w14:textId="77777777" w:rsidTr="601DEF25">
        <w:trPr>
          <w:trHeight w:val="300"/>
        </w:trPr>
        <w:tc>
          <w:tcPr>
            <w:tcW w:w="2505" w:type="dxa"/>
            <w:tcMar>
              <w:left w:w="105" w:type="dxa"/>
              <w:right w:w="105" w:type="dxa"/>
            </w:tcMar>
          </w:tcPr>
          <w:p w14:paraId="0BA26CF8" w14:textId="30ED1097" w:rsidR="601DEF25" w:rsidRDefault="601DEF25" w:rsidP="601DEF25">
            <w:pPr>
              <w:rPr>
                <w:rFonts w:ascii="Calibri" w:eastAsia="Calibri" w:hAnsi="Calibri" w:cs="Calibri"/>
              </w:rPr>
            </w:pPr>
            <w:r w:rsidRPr="601DEF25">
              <w:rPr>
                <w:rFonts w:ascii="Calibri" w:eastAsia="Calibri" w:hAnsi="Calibri" w:cs="Calibri"/>
              </w:rPr>
              <w:t>Approved:</w:t>
            </w:r>
          </w:p>
        </w:tc>
        <w:tc>
          <w:tcPr>
            <w:tcW w:w="6825" w:type="dxa"/>
            <w:tcMar>
              <w:left w:w="105" w:type="dxa"/>
              <w:right w:w="105" w:type="dxa"/>
            </w:tcMar>
          </w:tcPr>
          <w:p w14:paraId="7492633D" w14:textId="5632C6C9" w:rsidR="601DEF25" w:rsidRDefault="007B5D00" w:rsidP="601DEF25">
            <w:pPr>
              <w:rPr>
                <w:rFonts w:ascii="Calibri" w:eastAsia="Calibri" w:hAnsi="Calibri" w:cs="Calibri"/>
              </w:rPr>
            </w:pPr>
            <w:r>
              <w:rPr>
                <w:rFonts w:ascii="Calibri" w:eastAsia="Calibri" w:hAnsi="Calibri" w:cs="Calibri"/>
              </w:rPr>
              <w:t>Sarah Woodall, Health Sciences Building Manager</w:t>
            </w:r>
          </w:p>
        </w:tc>
      </w:tr>
    </w:tbl>
    <w:p w14:paraId="3367FAB2" w14:textId="7595E2AB" w:rsidR="00F153D5" w:rsidRDefault="00F153D5" w:rsidP="601DEF25">
      <w:pPr>
        <w:rPr>
          <w:rFonts w:ascii="Calibri" w:eastAsia="Calibri" w:hAnsi="Calibri" w:cs="Calibri"/>
          <w:color w:val="000000" w:themeColor="text1"/>
        </w:rPr>
      </w:pPr>
    </w:p>
    <w:p w14:paraId="48301B6D" w14:textId="77777777" w:rsidR="009C1D25" w:rsidRPr="009C1D25" w:rsidRDefault="0CE6A036" w:rsidP="009C1D25">
      <w:pPr>
        <w:pStyle w:val="ListParagraph"/>
        <w:numPr>
          <w:ilvl w:val="0"/>
          <w:numId w:val="3"/>
        </w:numPr>
        <w:spacing w:after="0" w:line="276" w:lineRule="auto"/>
        <w:rPr>
          <w:rFonts w:eastAsia="Calibri" w:cstheme="minorHAnsi"/>
          <w:color w:val="000000" w:themeColor="text1"/>
        </w:rPr>
      </w:pPr>
      <w:r w:rsidRPr="009C1D25">
        <w:rPr>
          <w:rFonts w:eastAsia="Calibri" w:cstheme="minorHAnsi"/>
          <w:b/>
          <w:bCs/>
          <w:color w:val="000000" w:themeColor="text1"/>
          <w:u w:val="single"/>
        </w:rPr>
        <w:t>Purpose</w:t>
      </w:r>
    </w:p>
    <w:p w14:paraId="7BE0FA7F" w14:textId="356A8AB5" w:rsidR="00F153D5" w:rsidRDefault="0CE6A036" w:rsidP="009C1D25">
      <w:pPr>
        <w:pStyle w:val="ListParagraph"/>
        <w:spacing w:after="0" w:line="276" w:lineRule="auto"/>
        <w:rPr>
          <w:rFonts w:eastAsia="Calibri" w:cstheme="minorHAnsi"/>
          <w:color w:val="000000" w:themeColor="text1"/>
        </w:rPr>
      </w:pPr>
      <w:r w:rsidRPr="009C1D25">
        <w:rPr>
          <w:rFonts w:eastAsia="Calibri" w:cstheme="minorHAnsi"/>
          <w:color w:val="000000" w:themeColor="text1"/>
        </w:rPr>
        <w:t>This policy establishes the conditions for tabling in Magnuson Health Sciences Center, South Campus Center, and the Health Sciences Education Building. The policy defines restrictions on tabling for UW groups and vendors.</w:t>
      </w:r>
    </w:p>
    <w:p w14:paraId="76A5E232" w14:textId="77777777" w:rsidR="009C1D25" w:rsidRPr="009C1D25" w:rsidRDefault="009C1D25" w:rsidP="009C1D25">
      <w:pPr>
        <w:pStyle w:val="ListParagraph"/>
        <w:spacing w:after="0" w:line="276" w:lineRule="auto"/>
        <w:rPr>
          <w:rFonts w:eastAsia="Calibri" w:cstheme="minorHAnsi"/>
          <w:color w:val="000000" w:themeColor="text1"/>
        </w:rPr>
      </w:pPr>
    </w:p>
    <w:p w14:paraId="2063B0EA" w14:textId="77777777" w:rsidR="009C1D25" w:rsidRPr="009C1D25" w:rsidRDefault="0CE6A036" w:rsidP="009C1D25">
      <w:pPr>
        <w:pStyle w:val="ListParagraph"/>
        <w:numPr>
          <w:ilvl w:val="0"/>
          <w:numId w:val="3"/>
        </w:numPr>
        <w:spacing w:after="0" w:line="276" w:lineRule="auto"/>
        <w:rPr>
          <w:rFonts w:eastAsia="Calibri" w:cstheme="minorHAnsi"/>
          <w:color w:val="000000" w:themeColor="text1"/>
        </w:rPr>
      </w:pPr>
      <w:r w:rsidRPr="009C1D25">
        <w:rPr>
          <w:rFonts w:eastAsia="Calibri" w:cstheme="minorHAnsi"/>
          <w:b/>
          <w:bCs/>
          <w:color w:val="000000" w:themeColor="text1"/>
          <w:u w:val="single"/>
        </w:rPr>
        <w:t>Scope</w:t>
      </w:r>
    </w:p>
    <w:p w14:paraId="2187C9A8" w14:textId="6AB79889" w:rsidR="00F153D5" w:rsidRPr="009C1D25" w:rsidRDefault="0CE6A036" w:rsidP="009C1D25">
      <w:pPr>
        <w:pStyle w:val="ListParagraph"/>
        <w:spacing w:after="0" w:line="276" w:lineRule="auto"/>
        <w:rPr>
          <w:rFonts w:eastAsia="Calibri" w:cstheme="minorHAnsi"/>
          <w:color w:val="000000" w:themeColor="text1"/>
        </w:rPr>
      </w:pPr>
      <w:r w:rsidRPr="009C1D25">
        <w:rPr>
          <w:rFonts w:eastAsia="Calibri" w:cstheme="minorHAnsi"/>
          <w:color w:val="000000" w:themeColor="text1"/>
        </w:rPr>
        <w:t>This policy applies to all UW students, staff, faculty, and all vendors and non-UW groups who perform work in the building.</w:t>
      </w:r>
    </w:p>
    <w:p w14:paraId="3AE191FA" w14:textId="77777777" w:rsidR="009C1D25" w:rsidRPr="009C1D25" w:rsidRDefault="009C1D25" w:rsidP="009C1D25">
      <w:pPr>
        <w:pStyle w:val="ListParagraph"/>
        <w:spacing w:line="276" w:lineRule="auto"/>
        <w:ind w:left="1440"/>
        <w:rPr>
          <w:rFonts w:eastAsia="Calibri" w:cstheme="minorHAnsi"/>
          <w:color w:val="000000" w:themeColor="text1"/>
        </w:rPr>
      </w:pPr>
    </w:p>
    <w:p w14:paraId="3032C3D8" w14:textId="77777777" w:rsidR="009C1D25" w:rsidRPr="009C1D25" w:rsidRDefault="0CE6A036" w:rsidP="009C1D25">
      <w:pPr>
        <w:pStyle w:val="ListParagraph"/>
        <w:numPr>
          <w:ilvl w:val="0"/>
          <w:numId w:val="3"/>
        </w:numPr>
        <w:spacing w:after="0" w:line="276" w:lineRule="auto"/>
        <w:rPr>
          <w:rFonts w:eastAsia="Calibri" w:cstheme="minorHAnsi"/>
          <w:color w:val="000000" w:themeColor="text1"/>
        </w:rPr>
      </w:pPr>
      <w:r w:rsidRPr="009C1D25">
        <w:rPr>
          <w:rFonts w:eastAsia="Calibri" w:cstheme="minorHAnsi"/>
          <w:b/>
          <w:bCs/>
          <w:color w:val="000000" w:themeColor="text1"/>
          <w:u w:val="single"/>
        </w:rPr>
        <w:t>Definitions</w:t>
      </w:r>
    </w:p>
    <w:p w14:paraId="406BA719" w14:textId="52D428EC" w:rsidR="00F153D5" w:rsidRPr="009C1D25" w:rsidRDefault="0CE6A036" w:rsidP="009C1D25">
      <w:pPr>
        <w:pStyle w:val="ListParagraph"/>
        <w:spacing w:after="0" w:line="276" w:lineRule="auto"/>
        <w:rPr>
          <w:rFonts w:eastAsia="Calibri" w:cstheme="minorHAnsi"/>
          <w:color w:val="000000" w:themeColor="text1"/>
        </w:rPr>
      </w:pPr>
      <w:r w:rsidRPr="009C1D25">
        <w:rPr>
          <w:rFonts w:eastAsia="Calibri" w:cstheme="minorHAnsi"/>
          <w:b/>
          <w:bCs/>
          <w:color w:val="000000" w:themeColor="text1"/>
        </w:rPr>
        <w:t>Tabling:</w:t>
      </w:r>
      <w:r w:rsidRPr="009C1D25">
        <w:rPr>
          <w:rFonts w:eastAsia="Calibri" w:cstheme="minorHAnsi"/>
          <w:color w:val="000000" w:themeColor="text1"/>
        </w:rPr>
        <w:t xml:space="preserve"> an event that is intended to promote an organization, service, business, or resource.</w:t>
      </w:r>
    </w:p>
    <w:p w14:paraId="72DE92AE" w14:textId="096C6C71" w:rsidR="00F153D5" w:rsidRPr="009C1D25" w:rsidRDefault="00F153D5" w:rsidP="009C1D25">
      <w:pPr>
        <w:spacing w:line="276" w:lineRule="auto"/>
        <w:rPr>
          <w:rFonts w:eastAsia="Calibri" w:cstheme="minorHAnsi"/>
          <w:color w:val="000000" w:themeColor="text1"/>
        </w:rPr>
      </w:pPr>
    </w:p>
    <w:p w14:paraId="521A3760" w14:textId="77777777" w:rsidR="009C1D25" w:rsidRPr="009C1D25" w:rsidRDefault="0CE6A036" w:rsidP="009C1D25">
      <w:pPr>
        <w:pStyle w:val="ListParagraph"/>
        <w:numPr>
          <w:ilvl w:val="0"/>
          <w:numId w:val="3"/>
        </w:numPr>
        <w:spacing w:after="0" w:line="276" w:lineRule="auto"/>
        <w:rPr>
          <w:rFonts w:eastAsia="Calibri" w:cstheme="minorHAnsi"/>
          <w:color w:val="000000" w:themeColor="text1"/>
        </w:rPr>
      </w:pPr>
      <w:r w:rsidRPr="009C1D25">
        <w:rPr>
          <w:rFonts w:eastAsia="Calibri" w:cstheme="minorHAnsi"/>
          <w:b/>
          <w:bCs/>
          <w:color w:val="000000" w:themeColor="text1"/>
          <w:u w:val="single"/>
        </w:rPr>
        <w:t xml:space="preserve">Policy Statement </w:t>
      </w:r>
    </w:p>
    <w:p w14:paraId="190C45BD" w14:textId="77777777" w:rsidR="002768DD" w:rsidRDefault="0CE6A036" w:rsidP="002768DD">
      <w:pPr>
        <w:pStyle w:val="ListParagraph"/>
        <w:spacing w:after="0" w:line="276" w:lineRule="auto"/>
        <w:rPr>
          <w:rFonts w:eastAsia="Calibri" w:cstheme="minorHAnsi"/>
          <w:color w:val="000000" w:themeColor="text1"/>
        </w:rPr>
      </w:pPr>
      <w:r w:rsidRPr="009C1D25">
        <w:rPr>
          <w:rFonts w:eastAsia="Calibri" w:cstheme="minorHAnsi"/>
          <w:color w:val="000000" w:themeColor="text1"/>
        </w:rPr>
        <w:t xml:space="preserve">All tabling events in the building must adhere to Washington State law and UW policy. This includes limitations on giveaways, gifts, and acceptable donations. Please refer to </w:t>
      </w:r>
      <w:hyperlink r:id="rId10">
        <w:r w:rsidRPr="009C1D25">
          <w:rPr>
            <w:rStyle w:val="Hyperlink"/>
            <w:rFonts w:eastAsia="Calibri" w:cstheme="minorHAnsi"/>
          </w:rPr>
          <w:t>UW EO 32 Employee Responsibilities and Employee Conflict of Interest</w:t>
        </w:r>
      </w:hyperlink>
      <w:r w:rsidRPr="009C1D25">
        <w:rPr>
          <w:rFonts w:eastAsia="Calibri" w:cstheme="minorHAnsi"/>
          <w:color w:val="000000" w:themeColor="text1"/>
        </w:rPr>
        <w:t xml:space="preserve"> for more information. </w:t>
      </w:r>
    </w:p>
    <w:p w14:paraId="450304CB" w14:textId="77777777" w:rsidR="002768DD" w:rsidRDefault="002768DD" w:rsidP="002768DD">
      <w:pPr>
        <w:pStyle w:val="ListParagraph"/>
        <w:spacing w:after="0" w:line="276" w:lineRule="auto"/>
        <w:rPr>
          <w:rFonts w:eastAsia="Calibri" w:cstheme="minorHAnsi"/>
          <w:color w:val="000000" w:themeColor="text1"/>
        </w:rPr>
      </w:pPr>
    </w:p>
    <w:p w14:paraId="76965B85" w14:textId="47A27705" w:rsidR="002768DD" w:rsidRDefault="0083787E" w:rsidP="002768DD">
      <w:pPr>
        <w:pStyle w:val="ListParagraph"/>
        <w:spacing w:after="0" w:line="276" w:lineRule="auto"/>
        <w:rPr>
          <w:rFonts w:eastAsia="Calibri" w:cstheme="minorHAnsi"/>
          <w:color w:val="000000" w:themeColor="text1"/>
        </w:rPr>
      </w:pPr>
      <w:r>
        <w:rPr>
          <w:rFonts w:eastAsia="Calibri" w:cstheme="minorHAnsi"/>
          <w:color w:val="000000" w:themeColor="text1"/>
        </w:rPr>
        <w:t xml:space="preserve">Tabling is allowed in </w:t>
      </w:r>
      <w:r w:rsidR="007C258E">
        <w:rPr>
          <w:rFonts w:eastAsia="Calibri" w:cstheme="minorHAnsi"/>
          <w:color w:val="000000" w:themeColor="text1"/>
        </w:rPr>
        <w:t xml:space="preserve">spaces managed by </w:t>
      </w:r>
      <w:r w:rsidR="00416F71">
        <w:rPr>
          <w:rFonts w:eastAsia="Calibri" w:cstheme="minorHAnsi"/>
          <w:color w:val="000000" w:themeColor="text1"/>
        </w:rPr>
        <w:t xml:space="preserve">Health Sciences </w:t>
      </w:r>
      <w:r w:rsidR="00071321">
        <w:rPr>
          <w:rFonts w:eastAsia="Calibri" w:cstheme="minorHAnsi"/>
          <w:color w:val="000000" w:themeColor="text1"/>
        </w:rPr>
        <w:t xml:space="preserve">Services or </w:t>
      </w:r>
      <w:r w:rsidR="001D0B30">
        <w:rPr>
          <w:rFonts w:eastAsia="Calibri" w:cstheme="minorHAnsi"/>
          <w:color w:val="000000" w:themeColor="text1"/>
        </w:rPr>
        <w:t>Health Sciences departments</w:t>
      </w:r>
      <w:r w:rsidR="00C76B60">
        <w:rPr>
          <w:rFonts w:eastAsia="Calibri" w:cstheme="minorHAnsi"/>
          <w:color w:val="000000" w:themeColor="text1"/>
        </w:rPr>
        <w:t xml:space="preserve">. </w:t>
      </w:r>
      <w:r w:rsidR="04D782C0" w:rsidRPr="002768DD">
        <w:rPr>
          <w:rFonts w:eastAsia="Calibri" w:cstheme="minorHAnsi"/>
          <w:color w:val="000000" w:themeColor="text1"/>
        </w:rPr>
        <w:t xml:space="preserve">Groups may not table in public spaces </w:t>
      </w:r>
      <w:r w:rsidR="055B3F93" w:rsidRPr="002768DD">
        <w:rPr>
          <w:rFonts w:eastAsia="Calibri" w:cstheme="minorHAnsi"/>
          <w:color w:val="000000" w:themeColor="text1"/>
        </w:rPr>
        <w:t>throughout the building</w:t>
      </w:r>
      <w:r w:rsidR="04D782C0" w:rsidRPr="002768DD">
        <w:rPr>
          <w:rFonts w:eastAsia="Calibri" w:cstheme="minorHAnsi"/>
          <w:color w:val="000000" w:themeColor="text1"/>
        </w:rPr>
        <w:t xml:space="preserve">. Public spaces </w:t>
      </w:r>
      <w:r w:rsidR="00FB0467">
        <w:rPr>
          <w:rFonts w:eastAsia="Calibri" w:cstheme="minorHAnsi"/>
          <w:color w:val="000000" w:themeColor="text1"/>
        </w:rPr>
        <w:t>include</w:t>
      </w:r>
      <w:r w:rsidR="36D01196" w:rsidRPr="002768DD">
        <w:rPr>
          <w:rFonts w:eastAsia="Calibri" w:cstheme="minorHAnsi"/>
          <w:color w:val="000000" w:themeColor="text1"/>
        </w:rPr>
        <w:t xml:space="preserve"> </w:t>
      </w:r>
      <w:r w:rsidR="04D782C0" w:rsidRPr="002768DD">
        <w:rPr>
          <w:rFonts w:eastAsia="Calibri" w:cstheme="minorHAnsi"/>
          <w:color w:val="000000" w:themeColor="text1"/>
        </w:rPr>
        <w:t>corridors, courtyards, entrances, lobbies, and lounges that are not allocated to a specific Health Sciences department.</w:t>
      </w:r>
    </w:p>
    <w:p w14:paraId="538358D1" w14:textId="77777777" w:rsidR="001D0B30" w:rsidRDefault="001D0B30" w:rsidP="002768DD">
      <w:pPr>
        <w:pStyle w:val="ListParagraph"/>
        <w:spacing w:after="0" w:line="276" w:lineRule="auto"/>
        <w:rPr>
          <w:rFonts w:eastAsia="Calibri" w:cstheme="minorHAnsi"/>
          <w:color w:val="000000" w:themeColor="text1"/>
        </w:rPr>
      </w:pPr>
    </w:p>
    <w:p w14:paraId="5318A833" w14:textId="1DE9EF70" w:rsidR="001D0B30" w:rsidRPr="001D0B30" w:rsidRDefault="001D0B30" w:rsidP="001D0B30">
      <w:pPr>
        <w:pStyle w:val="ListParagraph"/>
        <w:spacing w:after="0" w:line="276" w:lineRule="auto"/>
        <w:rPr>
          <w:rFonts w:eastAsia="Calibri" w:cstheme="minorHAnsi"/>
          <w:color w:val="000000" w:themeColor="text1"/>
        </w:rPr>
      </w:pPr>
      <w:r w:rsidRPr="002768DD">
        <w:rPr>
          <w:rFonts w:eastAsia="Calibri" w:cstheme="minorHAnsi"/>
        </w:rPr>
        <w:t xml:space="preserve">Groups may arrange tabling events in Health Sciences Services managed spaces through </w:t>
      </w:r>
      <w:hyperlink r:id="rId11" w:history="1">
        <w:r w:rsidRPr="002768DD">
          <w:rPr>
            <w:rStyle w:val="Hyperlink"/>
            <w:rFonts w:eastAsia="Calibri" w:cstheme="minorHAnsi"/>
          </w:rPr>
          <w:t>Classroom Services</w:t>
        </w:r>
        <w:r w:rsidRPr="002768DD">
          <w:rPr>
            <w:rStyle w:val="Hyperlink"/>
            <w:rFonts w:eastAsia="Calibri" w:cstheme="minorHAnsi"/>
            <w:u w:val="none"/>
          </w:rPr>
          <w:t>.</w:t>
        </w:r>
      </w:hyperlink>
      <w:r w:rsidRPr="002768DD">
        <w:rPr>
          <w:rFonts w:eastAsia="Calibri" w:cstheme="minorHAnsi"/>
          <w:color w:val="D13438"/>
        </w:rPr>
        <w:t xml:space="preserve"> </w:t>
      </w:r>
      <w:r w:rsidRPr="002768DD">
        <w:rPr>
          <w:rFonts w:eastAsia="Calibri" w:cstheme="minorHAnsi"/>
          <w:color w:val="000000" w:themeColor="text1"/>
        </w:rPr>
        <w:t xml:space="preserve">Please contact </w:t>
      </w:r>
      <w:r w:rsidRPr="002768DD">
        <w:rPr>
          <w:rFonts w:eastAsia="Calibri" w:cstheme="minorHAnsi"/>
        </w:rPr>
        <w:t>Classroom Services</w:t>
      </w:r>
      <w:r w:rsidRPr="002768DD">
        <w:rPr>
          <w:rFonts w:eastAsia="Calibri" w:cstheme="minorHAnsi"/>
          <w:color w:val="000000" w:themeColor="text1"/>
        </w:rPr>
        <w:t xml:space="preserve"> for more information</w:t>
      </w:r>
      <w:r w:rsidR="00035D3A">
        <w:rPr>
          <w:rFonts w:eastAsia="Calibri" w:cstheme="minorHAnsi"/>
          <w:color w:val="000000" w:themeColor="text1"/>
        </w:rPr>
        <w:t xml:space="preserve"> about their </w:t>
      </w:r>
      <w:r w:rsidR="008B6330">
        <w:rPr>
          <w:rFonts w:eastAsia="Calibri" w:cstheme="minorHAnsi"/>
          <w:color w:val="000000" w:themeColor="text1"/>
        </w:rPr>
        <w:t>event</w:t>
      </w:r>
      <w:r w:rsidR="00035D3A">
        <w:rPr>
          <w:rFonts w:eastAsia="Calibri" w:cstheme="minorHAnsi"/>
          <w:color w:val="000000" w:themeColor="text1"/>
        </w:rPr>
        <w:t xml:space="preserve"> policies</w:t>
      </w:r>
      <w:r w:rsidRPr="002768DD">
        <w:rPr>
          <w:rFonts w:eastAsia="Calibri" w:cstheme="minorHAnsi"/>
          <w:color w:val="000000" w:themeColor="text1"/>
        </w:rPr>
        <w:t xml:space="preserve">. </w:t>
      </w:r>
    </w:p>
    <w:p w14:paraId="58467010" w14:textId="77777777" w:rsidR="002768DD" w:rsidRDefault="002768DD" w:rsidP="002768DD">
      <w:pPr>
        <w:pStyle w:val="ListParagraph"/>
        <w:spacing w:after="0" w:line="276" w:lineRule="auto"/>
        <w:rPr>
          <w:rFonts w:eastAsia="Calibri" w:cstheme="minorHAnsi"/>
          <w:color w:val="000000" w:themeColor="text1"/>
        </w:rPr>
      </w:pPr>
    </w:p>
    <w:p w14:paraId="41992B77" w14:textId="1E2B9B6B" w:rsidR="007B66DB" w:rsidRDefault="78D11149" w:rsidP="00035D3A">
      <w:pPr>
        <w:pStyle w:val="ListParagraph"/>
        <w:spacing w:after="0" w:line="276" w:lineRule="auto"/>
        <w:rPr>
          <w:rFonts w:eastAsia="Calibri" w:cstheme="minorHAnsi"/>
          <w:color w:val="000000" w:themeColor="text1"/>
        </w:rPr>
      </w:pPr>
      <w:r w:rsidRPr="002768DD">
        <w:rPr>
          <w:rFonts w:eastAsia="Calibri" w:cstheme="minorHAnsi"/>
          <w:color w:val="000000" w:themeColor="text1"/>
        </w:rPr>
        <w:t xml:space="preserve">Groups may </w:t>
      </w:r>
      <w:r w:rsidR="00FB0467">
        <w:rPr>
          <w:rFonts w:eastAsia="Calibri" w:cstheme="minorHAnsi"/>
          <w:color w:val="000000" w:themeColor="text1"/>
        </w:rPr>
        <w:t xml:space="preserve">also </w:t>
      </w:r>
      <w:r w:rsidRPr="002768DD">
        <w:rPr>
          <w:rFonts w:eastAsia="Calibri" w:cstheme="minorHAnsi"/>
          <w:color w:val="000000" w:themeColor="text1"/>
        </w:rPr>
        <w:t xml:space="preserve">arrange to table inside Health Sciences department managed spaces in Magnuson Health Sciences Center. </w:t>
      </w:r>
      <w:r w:rsidR="005A7A28">
        <w:rPr>
          <w:rFonts w:eastAsia="Calibri" w:cstheme="minorHAnsi"/>
          <w:color w:val="000000" w:themeColor="text1"/>
        </w:rPr>
        <w:t>Departments are re</w:t>
      </w:r>
      <w:r w:rsidR="00E54301">
        <w:rPr>
          <w:rFonts w:eastAsia="Calibri" w:cstheme="minorHAnsi"/>
          <w:color w:val="000000" w:themeColor="text1"/>
        </w:rPr>
        <w:t>sponsible for verifying that hosted tabling events adhere to UW policy</w:t>
      </w:r>
      <w:r w:rsidRPr="002768DD">
        <w:rPr>
          <w:rFonts w:eastAsia="Calibri" w:cstheme="minorHAnsi"/>
          <w:color w:val="000000" w:themeColor="text1"/>
        </w:rPr>
        <w:t>.</w:t>
      </w:r>
      <w:r w:rsidR="4BC2FB72" w:rsidRPr="002768DD">
        <w:rPr>
          <w:rFonts w:eastAsia="Calibri" w:cstheme="minorHAnsi"/>
          <w:color w:val="000000" w:themeColor="text1"/>
        </w:rPr>
        <w:t xml:space="preserve"> Department managed tabling events may not use public spaces in the building to support tabling activities.</w:t>
      </w:r>
    </w:p>
    <w:p w14:paraId="685DC0CC" w14:textId="77777777" w:rsidR="00035D3A" w:rsidRPr="00035D3A" w:rsidRDefault="00035D3A" w:rsidP="00035D3A">
      <w:pPr>
        <w:pStyle w:val="ListParagraph"/>
        <w:spacing w:after="0" w:line="276" w:lineRule="auto"/>
        <w:rPr>
          <w:rFonts w:eastAsia="Calibri" w:cstheme="minorHAnsi"/>
          <w:color w:val="000000" w:themeColor="text1"/>
        </w:rPr>
      </w:pPr>
    </w:p>
    <w:p w14:paraId="04D58806" w14:textId="28BA80C2" w:rsidR="00F153D5" w:rsidRPr="002768DD" w:rsidRDefault="0CE6A036" w:rsidP="002768DD">
      <w:pPr>
        <w:pStyle w:val="ListParagraph"/>
        <w:spacing w:after="0" w:line="276" w:lineRule="auto"/>
        <w:rPr>
          <w:rFonts w:eastAsia="Calibri" w:cstheme="minorHAnsi"/>
          <w:color w:val="000000" w:themeColor="text1"/>
        </w:rPr>
      </w:pPr>
      <w:r w:rsidRPr="002768DD">
        <w:rPr>
          <w:rFonts w:eastAsia="Calibri" w:cstheme="minorHAnsi"/>
          <w:color w:val="000000" w:themeColor="text1"/>
        </w:rPr>
        <w:lastRenderedPageBreak/>
        <w:t>Groups who violate the building event tabling policy will be asked to discontinue their activity</w:t>
      </w:r>
      <w:r w:rsidR="00334636">
        <w:rPr>
          <w:rFonts w:eastAsia="Calibri" w:cstheme="minorHAnsi"/>
          <w:color w:val="000000" w:themeColor="text1"/>
        </w:rPr>
        <w:t>.</w:t>
      </w:r>
      <w:r w:rsidRPr="002768DD">
        <w:rPr>
          <w:rFonts w:eastAsia="Calibri" w:cstheme="minorHAnsi"/>
          <w:color w:val="000000" w:themeColor="text1"/>
        </w:rPr>
        <w:t xml:space="preserve"> Off-campus groups who do not have arrangements for tabling in the building will be asked to leave the facility.</w:t>
      </w:r>
      <w:r w:rsidR="009C7B89">
        <w:rPr>
          <w:rFonts w:eastAsia="Calibri" w:cstheme="minorHAnsi"/>
          <w:color w:val="000000" w:themeColor="text1"/>
        </w:rPr>
        <w:t xml:space="preserve"> Groups who repeatedly violate building tabling policy may be restricted from hosting tabling events</w:t>
      </w:r>
      <w:r w:rsidR="007B5D00">
        <w:rPr>
          <w:rFonts w:eastAsia="Calibri" w:cstheme="minorHAnsi"/>
          <w:color w:val="000000" w:themeColor="text1"/>
        </w:rPr>
        <w:t xml:space="preserve"> in Health Sciences Services spaces.</w:t>
      </w:r>
    </w:p>
    <w:p w14:paraId="0E333573" w14:textId="75AC99E5" w:rsidR="00F153D5" w:rsidRPr="009C1D25" w:rsidRDefault="00F153D5" w:rsidP="009C1D25">
      <w:pPr>
        <w:spacing w:line="276" w:lineRule="auto"/>
        <w:rPr>
          <w:rFonts w:eastAsia="Calibri" w:cstheme="minorHAnsi"/>
          <w:color w:val="000000" w:themeColor="text1"/>
        </w:rPr>
      </w:pPr>
    </w:p>
    <w:p w14:paraId="220A03C3" w14:textId="77777777" w:rsidR="002768DD" w:rsidRPr="002768DD" w:rsidRDefault="0CE6A036" w:rsidP="002768DD">
      <w:pPr>
        <w:pStyle w:val="ListParagraph"/>
        <w:numPr>
          <w:ilvl w:val="0"/>
          <w:numId w:val="3"/>
        </w:numPr>
        <w:spacing w:after="0" w:line="276" w:lineRule="auto"/>
        <w:rPr>
          <w:rFonts w:eastAsia="Calibri" w:cstheme="minorHAnsi"/>
          <w:color w:val="000000" w:themeColor="text1"/>
        </w:rPr>
      </w:pPr>
      <w:r w:rsidRPr="009C1D25">
        <w:rPr>
          <w:rFonts w:eastAsia="Calibri" w:cstheme="minorHAnsi"/>
          <w:b/>
          <w:bCs/>
          <w:color w:val="000000" w:themeColor="text1"/>
          <w:u w:val="single"/>
        </w:rPr>
        <w:t>Revision History</w:t>
      </w:r>
    </w:p>
    <w:p w14:paraId="788B1446" w14:textId="7167468A" w:rsidR="00F153D5" w:rsidRPr="002768DD" w:rsidRDefault="0CE6A036" w:rsidP="002768DD">
      <w:pPr>
        <w:pStyle w:val="ListParagraph"/>
        <w:spacing w:after="0" w:line="276" w:lineRule="auto"/>
        <w:rPr>
          <w:rFonts w:eastAsia="Calibri" w:cstheme="minorHAnsi"/>
          <w:color w:val="000000" w:themeColor="text1"/>
        </w:rPr>
      </w:pPr>
      <w:r w:rsidRPr="002768DD">
        <w:rPr>
          <w:rFonts w:eastAsia="Calibri" w:cstheme="minorHAnsi"/>
          <w:color w:val="000000" w:themeColor="text1"/>
        </w:rPr>
        <w:t>Created: 11/20/2024</w:t>
      </w:r>
    </w:p>
    <w:p w14:paraId="483F10E8" w14:textId="12B5DF0D" w:rsidR="00F153D5" w:rsidRDefault="00F153D5"/>
    <w:sectPr w:rsidR="00F153D5" w:rsidSect="0000362B">
      <w:headerReference w:type="default" r:id="rId12"/>
      <w:footerReference w:type="default" r:id="rId13"/>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228E0" w14:textId="77777777" w:rsidR="00531171" w:rsidRDefault="00531171" w:rsidP="0000362B">
      <w:pPr>
        <w:spacing w:after="0" w:line="240" w:lineRule="auto"/>
      </w:pPr>
      <w:r>
        <w:separator/>
      </w:r>
    </w:p>
  </w:endnote>
  <w:endnote w:type="continuationSeparator" w:id="0">
    <w:p w14:paraId="16AE9A21" w14:textId="77777777" w:rsidR="00531171" w:rsidRDefault="00531171" w:rsidP="0000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trix II OT Book">
    <w:altName w:val="Bodoni MT Condensed"/>
    <w:charset w:val="00"/>
    <w:family w:val="auto"/>
    <w:pitch w:val="variable"/>
    <w:sig w:usb0="00000003" w:usb1="400004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36E55" w14:textId="2CE1C795" w:rsidR="0000362B" w:rsidRPr="00986E70" w:rsidRDefault="0000362B" w:rsidP="0000362B">
    <w:pPr>
      <w:pStyle w:val="Footer"/>
      <w:jc w:val="center"/>
      <w:rPr>
        <w:rFonts w:cstheme="minorHAnsi"/>
        <w:sz w:val="20"/>
        <w:szCs w:val="20"/>
      </w:rPr>
    </w:pPr>
    <w:r w:rsidRPr="00986E70">
      <w:rPr>
        <w:rFonts w:cstheme="minorHAnsi"/>
        <w:sz w:val="20"/>
        <w:szCs w:val="20"/>
      </w:rPr>
      <w:t>Health Sciences Services   -   1</w:t>
    </w:r>
    <w:r w:rsidR="008B487A">
      <w:rPr>
        <w:rFonts w:cstheme="minorHAnsi"/>
        <w:sz w:val="20"/>
        <w:szCs w:val="20"/>
      </w:rPr>
      <w:t>705</w:t>
    </w:r>
    <w:r w:rsidRPr="00986E70">
      <w:rPr>
        <w:rFonts w:cstheme="minorHAnsi"/>
        <w:sz w:val="20"/>
        <w:szCs w:val="20"/>
      </w:rPr>
      <w:t xml:space="preserve"> NE Pacific Street, D-30</w:t>
    </w:r>
    <w:r w:rsidR="00727126">
      <w:rPr>
        <w:rFonts w:cstheme="minorHAnsi"/>
        <w:sz w:val="20"/>
        <w:szCs w:val="20"/>
      </w:rPr>
      <w:t>3</w:t>
    </w:r>
    <w:r w:rsidRPr="00986E70">
      <w:rPr>
        <w:rFonts w:cstheme="minorHAnsi"/>
        <w:sz w:val="20"/>
        <w:szCs w:val="20"/>
      </w:rPr>
      <w:t xml:space="preserve"> - Seattle, WA 98195-6355 -  </w:t>
    </w:r>
    <w:hyperlink r:id="rId1" w:history="1">
      <w:r w:rsidR="00056EF3" w:rsidRPr="00CA1EA7">
        <w:rPr>
          <w:rStyle w:val="Hyperlink"/>
          <w:sz w:val="20"/>
          <w:szCs w:val="20"/>
        </w:rPr>
        <w:t>https://hss.washington.edu/</w:t>
      </w:r>
    </w:hyperlink>
    <w:r w:rsidR="00056EF3">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BAAA" w14:textId="77777777" w:rsidR="00531171" w:rsidRDefault="00531171" w:rsidP="0000362B">
      <w:pPr>
        <w:spacing w:after="0" w:line="240" w:lineRule="auto"/>
      </w:pPr>
      <w:r>
        <w:separator/>
      </w:r>
    </w:p>
  </w:footnote>
  <w:footnote w:type="continuationSeparator" w:id="0">
    <w:p w14:paraId="1103FEBE" w14:textId="77777777" w:rsidR="00531171" w:rsidRDefault="00531171" w:rsidP="00003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F6E0" w14:textId="77777777" w:rsidR="0000362B" w:rsidRPr="00F06FEF" w:rsidRDefault="0000362B" w:rsidP="0000362B">
    <w:pPr>
      <w:ind w:left="360"/>
      <w:rPr>
        <w:rFonts w:ascii="Matrix II OT Book" w:hAnsi="Matrix II OT Book"/>
        <w:sz w:val="32"/>
        <w:szCs w:val="32"/>
      </w:rPr>
    </w:pPr>
    <w:r>
      <w:rPr>
        <w:noProof/>
      </w:rPr>
      <w:drawing>
        <wp:anchor distT="0" distB="0" distL="114300" distR="114300" simplePos="0" relativeHeight="251659264" behindDoc="1" locked="0" layoutInCell="1" allowOverlap="1" wp14:anchorId="2B8D3D19" wp14:editId="695B4752">
          <wp:simplePos x="0" y="0"/>
          <wp:positionH relativeFrom="margin">
            <wp:align>center</wp:align>
          </wp:positionH>
          <wp:positionV relativeFrom="topMargin">
            <wp:posOffset>390525</wp:posOffset>
          </wp:positionV>
          <wp:extent cx="6858000" cy="393065"/>
          <wp:effectExtent l="0" t="0" r="0" b="698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393065"/>
                  </a:xfrm>
                  <a:prstGeom prst="rect">
                    <a:avLst/>
                  </a:prstGeom>
                </pic:spPr>
              </pic:pic>
            </a:graphicData>
          </a:graphic>
          <wp14:sizeRelH relativeFrom="margin">
            <wp14:pctWidth>0</wp14:pctWidth>
          </wp14:sizeRelH>
          <wp14:sizeRelV relativeFrom="margin">
            <wp14:pctHeight>0</wp14:pctHeight>
          </wp14:sizeRelV>
        </wp:anchor>
      </w:drawing>
    </w:r>
    <w:r w:rsidRPr="00F06FEF">
      <w:rPr>
        <w:rFonts w:ascii="Matrix II OT Book" w:hAnsi="Matrix II OT Book"/>
        <w:sz w:val="32"/>
        <w:szCs w:val="32"/>
      </w:rPr>
      <w:t>Health Science</w:t>
    </w:r>
    <w:r w:rsidR="008B487A">
      <w:rPr>
        <w:rFonts w:ascii="Matrix II OT Book" w:hAnsi="Matrix II OT Book"/>
        <w:sz w:val="32"/>
        <w:szCs w:val="32"/>
      </w:rPr>
      <w:t>s</w:t>
    </w:r>
    <w:r w:rsidRPr="00F06FEF">
      <w:rPr>
        <w:rFonts w:ascii="Matrix II OT Book" w:hAnsi="Matrix II OT Book"/>
        <w:sz w:val="32"/>
        <w:szCs w:val="32"/>
      </w:rPr>
      <w:t xml:space="preserve"> Services</w:t>
    </w:r>
  </w:p>
  <w:p w14:paraId="10BC9F55" w14:textId="77777777" w:rsidR="0000362B" w:rsidRDefault="00003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2D399"/>
    <w:multiLevelType w:val="hybridMultilevel"/>
    <w:tmpl w:val="2E642F9E"/>
    <w:lvl w:ilvl="0" w:tplc="1932113A">
      <w:start w:val="1"/>
      <w:numFmt w:val="upperRoman"/>
      <w:lvlText w:val="%1."/>
      <w:lvlJc w:val="left"/>
      <w:pPr>
        <w:ind w:left="1080" w:hanging="720"/>
      </w:pPr>
    </w:lvl>
    <w:lvl w:ilvl="1" w:tplc="2EEEE2BC">
      <w:start w:val="1"/>
      <w:numFmt w:val="lowerLetter"/>
      <w:lvlText w:val="%2."/>
      <w:lvlJc w:val="left"/>
      <w:pPr>
        <w:ind w:left="1440" w:hanging="360"/>
      </w:pPr>
    </w:lvl>
    <w:lvl w:ilvl="2" w:tplc="F850AABE">
      <w:start w:val="1"/>
      <w:numFmt w:val="lowerRoman"/>
      <w:lvlText w:val="%3."/>
      <w:lvlJc w:val="right"/>
      <w:pPr>
        <w:ind w:left="2160" w:hanging="180"/>
      </w:pPr>
    </w:lvl>
    <w:lvl w:ilvl="3" w:tplc="E07480F2">
      <w:start w:val="1"/>
      <w:numFmt w:val="decimal"/>
      <w:lvlText w:val="%4."/>
      <w:lvlJc w:val="left"/>
      <w:pPr>
        <w:ind w:left="2880" w:hanging="360"/>
      </w:pPr>
    </w:lvl>
    <w:lvl w:ilvl="4" w:tplc="4EBCFADE">
      <w:start w:val="1"/>
      <w:numFmt w:val="lowerLetter"/>
      <w:lvlText w:val="%5."/>
      <w:lvlJc w:val="left"/>
      <w:pPr>
        <w:ind w:left="3600" w:hanging="360"/>
      </w:pPr>
    </w:lvl>
    <w:lvl w:ilvl="5" w:tplc="E05E2AC0">
      <w:start w:val="1"/>
      <w:numFmt w:val="lowerRoman"/>
      <w:lvlText w:val="%6."/>
      <w:lvlJc w:val="right"/>
      <w:pPr>
        <w:ind w:left="4320" w:hanging="180"/>
      </w:pPr>
    </w:lvl>
    <w:lvl w:ilvl="6" w:tplc="57A0EF10">
      <w:start w:val="1"/>
      <w:numFmt w:val="decimal"/>
      <w:lvlText w:val="%7."/>
      <w:lvlJc w:val="left"/>
      <w:pPr>
        <w:ind w:left="5040" w:hanging="360"/>
      </w:pPr>
    </w:lvl>
    <w:lvl w:ilvl="7" w:tplc="BB7AEA14">
      <w:start w:val="1"/>
      <w:numFmt w:val="lowerLetter"/>
      <w:lvlText w:val="%8."/>
      <w:lvlJc w:val="left"/>
      <w:pPr>
        <w:ind w:left="5760" w:hanging="360"/>
      </w:pPr>
    </w:lvl>
    <w:lvl w:ilvl="8" w:tplc="8848CCDA">
      <w:start w:val="1"/>
      <w:numFmt w:val="lowerRoman"/>
      <w:lvlText w:val="%9."/>
      <w:lvlJc w:val="right"/>
      <w:pPr>
        <w:ind w:left="6480" w:hanging="180"/>
      </w:pPr>
    </w:lvl>
  </w:abstractNum>
  <w:abstractNum w:abstractNumId="1" w15:restartNumberingAfterBreak="0">
    <w:nsid w:val="14A232B4"/>
    <w:multiLevelType w:val="hybridMultilevel"/>
    <w:tmpl w:val="B518CA4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AB22A"/>
    <w:multiLevelType w:val="hybridMultilevel"/>
    <w:tmpl w:val="4678D3A2"/>
    <w:lvl w:ilvl="0" w:tplc="990615F6">
      <w:start w:val="1"/>
      <w:numFmt w:val="upperRoman"/>
      <w:lvlText w:val="%1."/>
      <w:lvlJc w:val="left"/>
      <w:pPr>
        <w:ind w:left="1080" w:hanging="720"/>
      </w:pPr>
    </w:lvl>
    <w:lvl w:ilvl="1" w:tplc="E8E05EAA">
      <w:start w:val="1"/>
      <w:numFmt w:val="lowerLetter"/>
      <w:lvlText w:val="%2."/>
      <w:lvlJc w:val="left"/>
      <w:pPr>
        <w:ind w:left="1440" w:hanging="360"/>
      </w:pPr>
    </w:lvl>
    <w:lvl w:ilvl="2" w:tplc="21088B1A">
      <w:start w:val="1"/>
      <w:numFmt w:val="lowerRoman"/>
      <w:lvlText w:val="%3."/>
      <w:lvlJc w:val="right"/>
      <w:pPr>
        <w:ind w:left="2160" w:hanging="180"/>
      </w:pPr>
    </w:lvl>
    <w:lvl w:ilvl="3" w:tplc="E75E95E8">
      <w:start w:val="1"/>
      <w:numFmt w:val="decimal"/>
      <w:lvlText w:val="%4."/>
      <w:lvlJc w:val="left"/>
      <w:pPr>
        <w:ind w:left="2880" w:hanging="360"/>
      </w:pPr>
    </w:lvl>
    <w:lvl w:ilvl="4" w:tplc="7CEC0A16">
      <w:start w:val="1"/>
      <w:numFmt w:val="lowerLetter"/>
      <w:lvlText w:val="%5."/>
      <w:lvlJc w:val="left"/>
      <w:pPr>
        <w:ind w:left="3600" w:hanging="360"/>
      </w:pPr>
    </w:lvl>
    <w:lvl w:ilvl="5" w:tplc="313AD352">
      <w:start w:val="1"/>
      <w:numFmt w:val="lowerRoman"/>
      <w:lvlText w:val="%6."/>
      <w:lvlJc w:val="right"/>
      <w:pPr>
        <w:ind w:left="4320" w:hanging="180"/>
      </w:pPr>
    </w:lvl>
    <w:lvl w:ilvl="6" w:tplc="87DA4D36">
      <w:start w:val="1"/>
      <w:numFmt w:val="decimal"/>
      <w:lvlText w:val="%7."/>
      <w:lvlJc w:val="left"/>
      <w:pPr>
        <w:ind w:left="5040" w:hanging="360"/>
      </w:pPr>
    </w:lvl>
    <w:lvl w:ilvl="7" w:tplc="751E6D66">
      <w:start w:val="1"/>
      <w:numFmt w:val="lowerLetter"/>
      <w:lvlText w:val="%8."/>
      <w:lvlJc w:val="left"/>
      <w:pPr>
        <w:ind w:left="5760" w:hanging="360"/>
      </w:pPr>
    </w:lvl>
    <w:lvl w:ilvl="8" w:tplc="5F885BAC">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2B"/>
    <w:rsid w:val="0000362B"/>
    <w:rsid w:val="00035D3A"/>
    <w:rsid w:val="00056EF3"/>
    <w:rsid w:val="00071321"/>
    <w:rsid w:val="001458DA"/>
    <w:rsid w:val="001D0B30"/>
    <w:rsid w:val="00215EEE"/>
    <w:rsid w:val="00220851"/>
    <w:rsid w:val="002768DD"/>
    <w:rsid w:val="00334636"/>
    <w:rsid w:val="00416F71"/>
    <w:rsid w:val="00531171"/>
    <w:rsid w:val="00556E35"/>
    <w:rsid w:val="005A7A28"/>
    <w:rsid w:val="005F7C43"/>
    <w:rsid w:val="00683290"/>
    <w:rsid w:val="00702A1F"/>
    <w:rsid w:val="00727126"/>
    <w:rsid w:val="007A1C33"/>
    <w:rsid w:val="007B5D00"/>
    <w:rsid w:val="007B66DB"/>
    <w:rsid w:val="007C258E"/>
    <w:rsid w:val="0083787E"/>
    <w:rsid w:val="008B487A"/>
    <w:rsid w:val="008B6330"/>
    <w:rsid w:val="008C63DE"/>
    <w:rsid w:val="009C1D25"/>
    <w:rsid w:val="009C7B89"/>
    <w:rsid w:val="00A30E83"/>
    <w:rsid w:val="00C76B60"/>
    <w:rsid w:val="00E54301"/>
    <w:rsid w:val="00E62B8D"/>
    <w:rsid w:val="00F153D5"/>
    <w:rsid w:val="00FB0467"/>
    <w:rsid w:val="03E04880"/>
    <w:rsid w:val="04D782C0"/>
    <w:rsid w:val="04F50CDC"/>
    <w:rsid w:val="055B3F93"/>
    <w:rsid w:val="06635CCD"/>
    <w:rsid w:val="0BCDC485"/>
    <w:rsid w:val="0CE6A036"/>
    <w:rsid w:val="0E668B31"/>
    <w:rsid w:val="0EFA1400"/>
    <w:rsid w:val="11ECCCCC"/>
    <w:rsid w:val="17682AC0"/>
    <w:rsid w:val="1825A0EA"/>
    <w:rsid w:val="21CD651D"/>
    <w:rsid w:val="27661C5A"/>
    <w:rsid w:val="283F5F3C"/>
    <w:rsid w:val="350D1B46"/>
    <w:rsid w:val="36D01196"/>
    <w:rsid w:val="3A474026"/>
    <w:rsid w:val="3DFE9878"/>
    <w:rsid w:val="3E3CD94A"/>
    <w:rsid w:val="41C67CDA"/>
    <w:rsid w:val="450EF910"/>
    <w:rsid w:val="461CE306"/>
    <w:rsid w:val="4747BAE7"/>
    <w:rsid w:val="4BC2FB72"/>
    <w:rsid w:val="4D3E8CEE"/>
    <w:rsid w:val="4E6DF8E0"/>
    <w:rsid w:val="556BAD9E"/>
    <w:rsid w:val="5582538D"/>
    <w:rsid w:val="584613BC"/>
    <w:rsid w:val="584B4C65"/>
    <w:rsid w:val="59470B0B"/>
    <w:rsid w:val="5C5BF4EA"/>
    <w:rsid w:val="5CEEA583"/>
    <w:rsid w:val="5EFE1AE2"/>
    <w:rsid w:val="5F42C6B1"/>
    <w:rsid w:val="601DEF25"/>
    <w:rsid w:val="61FB464D"/>
    <w:rsid w:val="628F9577"/>
    <w:rsid w:val="6D41F18F"/>
    <w:rsid w:val="6D49B218"/>
    <w:rsid w:val="70744A80"/>
    <w:rsid w:val="70BC5420"/>
    <w:rsid w:val="77BB08D1"/>
    <w:rsid w:val="78D11149"/>
    <w:rsid w:val="7906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8FE66"/>
  <w15:chartTrackingRefBased/>
  <w15:docId w15:val="{B5A212FF-3F9E-4799-9D63-014558E0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62B"/>
  </w:style>
  <w:style w:type="paragraph" w:styleId="Footer">
    <w:name w:val="footer"/>
    <w:basedOn w:val="Normal"/>
    <w:link w:val="FooterChar"/>
    <w:uiPriority w:val="99"/>
    <w:unhideWhenUsed/>
    <w:rsid w:val="0000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62B"/>
  </w:style>
  <w:style w:type="character" w:styleId="Hyperlink">
    <w:name w:val="Hyperlink"/>
    <w:basedOn w:val="DefaultParagraphFont"/>
    <w:uiPriority w:val="99"/>
    <w:unhideWhenUsed/>
    <w:rsid w:val="0000362B"/>
    <w:rPr>
      <w:color w:val="0563C1" w:themeColor="hyperlink"/>
      <w:u w:val="single"/>
    </w:rPr>
  </w:style>
  <w:style w:type="paragraph" w:styleId="ListParagraph">
    <w:name w:val="List Paragraph"/>
    <w:basedOn w:val="Normal"/>
    <w:uiPriority w:val="34"/>
    <w:qFormat/>
    <w:rsid w:val="3E3CD94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56EF3"/>
    <w:rPr>
      <w:color w:val="605E5C"/>
      <w:shd w:val="clear" w:color="auto" w:fill="E1DFDD"/>
    </w:rPr>
  </w:style>
  <w:style w:type="character" w:styleId="FollowedHyperlink">
    <w:name w:val="FollowedHyperlink"/>
    <w:basedOn w:val="DefaultParagraphFont"/>
    <w:uiPriority w:val="99"/>
    <w:semiHidden/>
    <w:unhideWhenUsed/>
    <w:rsid w:val="005A7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sasf.hsa.washington.edu/instructional-support/crs-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licy.uw.edu/directory/po/executive-orders/eo-32-employee-responsibilities-and-employee-conflict-of-inter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s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1fd29a4dee207fe112fa4dbcaed3e54e">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637dba2f108fb16d87ec9aea4af45c04"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45662C-2001-4168-A8B8-C51F4550B3F5}">
  <ds:schemaRefs>
    <ds:schemaRef ds:uri="http://schemas.microsoft.com/sharepoint/v3/contenttype/forms"/>
  </ds:schemaRefs>
</ds:datastoreItem>
</file>

<file path=customXml/itemProps2.xml><?xml version="1.0" encoding="utf-8"?>
<ds:datastoreItem xmlns:ds="http://schemas.openxmlformats.org/officeDocument/2006/customXml" ds:itemID="{0C92FA48-A0D3-4339-9321-76CAFAF9B562}">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3.xml><?xml version="1.0" encoding="utf-8"?>
<ds:datastoreItem xmlns:ds="http://schemas.openxmlformats.org/officeDocument/2006/customXml" ds:itemID="{DBE9601C-3509-4C20-A835-4E8448C30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7543f-55dd-4d3e-9d38-3fe30032d3c7"/>
    <ds:schemaRef ds:uri="bd7835b3-1164-4c39-ac24-a6e73edcdf0c"/>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Plancich</dc:creator>
  <cp:keywords/>
  <dc:description/>
  <cp:lastModifiedBy>Sarah Woodall</cp:lastModifiedBy>
  <cp:revision>32</cp:revision>
  <dcterms:created xsi:type="dcterms:W3CDTF">2025-02-10T19:36:00Z</dcterms:created>
  <dcterms:modified xsi:type="dcterms:W3CDTF">2025-09-19T19:08:00Z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